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Bulk Requirements of Electricians for the installation of Prepaid Electric Meter in different cities of Assam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Location: Badarpur,Karimganj,Garbhanga,Kalapahar,Bilasipara,Dhubri,Jagiroad,Morigaon,Hojai,Lanka,Nagaon 1,Tezpur 1,Tezpur 2,Rangapara,Dhekiajuli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Must have any degree of Electrician or Electrical. (ITI, Diploma or Bachelor)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Knowledge of LT electric transmission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Knowledge of Smart Prepaid Meter Installation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Flexible for relocation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2- Wheeler is compulsory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Hiring is on urgent basis.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Job Type: Full-time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Salary: ₹14,500.00 per month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Benefits: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Health insurance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Day shift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Supplemental pay types: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Performance bonus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Ability to commute/relocate: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Patna, Bihar: Reliably commute or planning to relocate before starting work (Required)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Experience: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Electrician: 1 year (Required)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total work: 1 year (Required)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